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288" w:rsidRPr="00177A7D" w:rsidRDefault="00CA0288" w:rsidP="00CA0288">
      <w:pPr>
        <w:jc w:val="right"/>
        <w:rPr>
          <w:rFonts w:ascii="Arial" w:hAnsi="Arial" w:cs="Arial"/>
          <w:color w:val="0000FF"/>
        </w:rPr>
      </w:pPr>
      <w:bookmarkStart w:id="0" w:name="_Hlk120706003"/>
      <w:r w:rsidRPr="00E65ED2">
        <w:rPr>
          <w:rFonts w:ascii="Arial" w:hAnsi="Arial" w:cs="Arial"/>
          <w:color w:val="0000FF"/>
        </w:rPr>
        <w:t>ZAŁĄCZNIK NR 2 DO SWZ</w:t>
      </w:r>
    </w:p>
    <w:p w:rsidR="00CA0288" w:rsidRPr="00177A7D" w:rsidRDefault="00CA0288" w:rsidP="00CA0288">
      <w:pPr>
        <w:rPr>
          <w:rFonts w:ascii="Arial" w:hAnsi="Arial" w:cs="Arial"/>
        </w:rPr>
      </w:pPr>
    </w:p>
    <w:p w:rsidR="00CA0288" w:rsidRPr="00177A7D" w:rsidRDefault="00CA0288" w:rsidP="00CA0288">
      <w:pPr>
        <w:jc w:val="center"/>
        <w:rPr>
          <w:rFonts w:ascii="Arial" w:hAnsi="Arial" w:cs="Arial"/>
        </w:rPr>
      </w:pPr>
      <w:r w:rsidRPr="00177A7D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 xml:space="preserve"> PO ZMIANACH</w:t>
      </w:r>
    </w:p>
    <w:p w:rsidR="00CA0288" w:rsidRPr="00177A7D" w:rsidRDefault="00CA0288" w:rsidP="00CA0288">
      <w:pPr>
        <w:jc w:val="center"/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5859"/>
        <w:gridCol w:w="1985"/>
        <w:gridCol w:w="1549"/>
      </w:tblGrid>
      <w:tr w:rsidR="00CA0288" w:rsidRPr="00CE4E0F" w:rsidTr="00CA0288"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bookmarkEnd w:id="0"/>
          <w:p w:rsidR="00CA0288" w:rsidRPr="00CE4E0F" w:rsidRDefault="00CA0288" w:rsidP="003B3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CE4E0F">
              <w:rPr>
                <w:rFonts w:ascii="Arial" w:hAnsi="Arial" w:cs="Arial"/>
                <w:b/>
              </w:rPr>
              <w:t>SPRZĘT KOMPUTEROWY</w:t>
            </w:r>
          </w:p>
        </w:tc>
      </w:tr>
      <w:tr w:rsidR="00CA0288" w:rsidRPr="00A25E9A" w:rsidTr="00CA028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CA0288" w:rsidRPr="00A25E9A" w:rsidRDefault="00CA0288" w:rsidP="003B3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E9A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CA0288" w:rsidRPr="00A25E9A" w:rsidRDefault="00CA0288" w:rsidP="003B37BC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Wymagania dla przedmiotu zamówienia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:rsidR="00CA0288" w:rsidRPr="00A25E9A" w:rsidRDefault="00CA0288" w:rsidP="003B37BC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Parametry wymagane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EEE"/>
            <w:vAlign w:val="center"/>
          </w:tcPr>
          <w:p w:rsidR="00CA0288" w:rsidRPr="00A25E9A" w:rsidRDefault="00CA0288" w:rsidP="003B37BC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18"/>
                <w:szCs w:val="18"/>
              </w:rPr>
            </w:pPr>
            <w:r w:rsidRPr="00A25E9A">
              <w:rPr>
                <w:rFonts w:ascii="Arial" w:hAnsi="Arial"/>
                <w:iCs/>
                <w:color w:val="000000"/>
                <w:sz w:val="18"/>
                <w:szCs w:val="18"/>
              </w:rPr>
              <w:t>Potwierdzenie</w:t>
            </w: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E4E0F">
              <w:rPr>
                <w:rFonts w:ascii="Arial" w:hAnsi="Arial"/>
                <w:b/>
                <w:bCs/>
                <w:sz w:val="20"/>
                <w:szCs w:val="20"/>
              </w:rPr>
              <w:t>ZESTAW KOMPUTEROWY</w:t>
            </w: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both"/>
              <w:rPr>
                <w:rFonts w:ascii="Arial" w:hAnsi="Arial" w:cs="Arial"/>
                <w:i/>
              </w:rPr>
            </w:pPr>
            <w:r w:rsidRPr="00CE4E0F">
              <w:rPr>
                <w:rFonts w:ascii="Arial" w:hAnsi="Arial" w:cs="Arial"/>
              </w:rPr>
              <w:t>Fabrycznie nowy, rok produkcji 2026 lub 2025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A0288" w:rsidRPr="00CE4E0F" w:rsidRDefault="00CA0288" w:rsidP="003B37BC">
            <w:pPr>
              <w:snapToGrid w:val="0"/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PARAMETRY TECHNICZNE</w:t>
            </w: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 xml:space="preserve">Komputer będzie wykorzystywany dla potrzeb aplikacji biurowych, dostępu do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internetu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 xml:space="preserve"> oraz poczty elektronicznej, jako lokalna baza danych.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Podstawa umożliwiająca regulację jednostki w zakresie co najmniej:</w:t>
            </w:r>
          </w:p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- pochylenie przód tył od -5 do 20 stopni</w:t>
            </w:r>
          </w:p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 xml:space="preserve">-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swivel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 xml:space="preserve"> w zakresie min. 45 stopni</w:t>
            </w:r>
          </w:p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 xml:space="preserve">-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pivot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 xml:space="preserve"> w zakresie 90 stopni</w:t>
            </w:r>
          </w:p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- regulację wysokości do 110mm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Chipset dostosowany do zaoferowanego procesora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 xml:space="preserve">Procesor klasy x86, zaprojektowany do pracy w komputerach stacjonarnych na minimalnym poziomie wydajności 42 100 liczonej w punktach na podstawie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PerformanceTest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 xml:space="preserve"> w teście CPU Mark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Mark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 xml:space="preserve"> lub teście równoważnym według wyników opublikowanych na http://www.cpubenchmark.net/ na dzień 24.02.2025 lub nowszy.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Tak, podać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Pamięć operacyjna Min. 32GB. Możliwość rozbudowy do min. 64GB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 xml:space="preserve">Dysk twardy Min. 1 TB M.2 </w:t>
            </w:r>
            <w:proofErr w:type="spellStart"/>
            <w:r w:rsidRPr="00FF31CC">
              <w:rPr>
                <w:rFonts w:ascii="Arial" w:eastAsia="Lucida Sans Unicode" w:hAnsi="Arial" w:cs="Arial"/>
                <w:kern w:val="2"/>
              </w:rPr>
              <w:t>PCIe</w:t>
            </w:r>
            <w:proofErr w:type="spellEnd"/>
            <w:r w:rsidRPr="00FF31CC">
              <w:rPr>
                <w:rFonts w:ascii="Arial" w:eastAsia="Lucida Sans Unicode" w:hAnsi="Arial" w:cs="Arial"/>
                <w:kern w:val="2"/>
              </w:rPr>
              <w:t>, wspierający sprzętowe szyfrowanie dysku OPAL lub równoważne, zawierający RECOVERY umożliwiającą odtworzenie systemu operacyjnego fabrycznie zainstalowanego na komputerze po awarii. Możliwość instalacji drugiego dysku SSD M.2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FF31CC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FF31CC">
              <w:rPr>
                <w:rFonts w:ascii="Arial" w:eastAsia="Lucida Sans Unicode" w:hAnsi="Arial" w:cs="Arial"/>
                <w:kern w:val="2"/>
              </w:rPr>
              <w:t>Zintegrowana karta graficzna z procesorem.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A0288" w:rsidRPr="00CE4E0F" w:rsidRDefault="00CA0288" w:rsidP="003B37BC">
            <w:pPr>
              <w:snapToGrid w:val="0"/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Matryca dotykowa min. 23,8” IPS o rozdzielczości min. FHD 1920x1080, matowa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Jasność typowa min. 250 cd/m²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Kontrast typowy min. 1000:1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Odświeżanie min. 60Hz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Gamut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min.72% NTSC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Sprzętowa funkcja redukująca emisję światła niebieskiego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Kąty widzenia poziomo/pionowo min. 178/178 stopni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Multimedia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Karta dźwiękowa zintegrowana z płytą główną, zgodna z High Definition.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Wbudowane dwa głośniki o mocy min. 3W każdy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Wbudowane dwa mikrofony.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Kamera min. 5MP zintegrowana z obudową komputera, z mechaniczną zasłoną obiektywu, funkcją logowania za pomocą rozpoznawania twarzy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11</w:t>
            </w: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Sieć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Karta sieciowa LAN obsługująca prędkości min. 100/1000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Karta sieci umożliwiająca </w:t>
            </w:r>
            <w:r w:rsidRPr="00791C81">
              <w:rPr>
                <w:rFonts w:ascii="Arial" w:hAnsi="Arial" w:cs="Arial"/>
                <w:color w:val="000000"/>
              </w:rPr>
              <w:t xml:space="preserve">bezprzewodowy dostęp do Internetu (Wireless </w:t>
            </w:r>
            <w:proofErr w:type="spellStart"/>
            <w:r w:rsidRPr="00791C81">
              <w:rPr>
                <w:rFonts w:ascii="Arial" w:hAnsi="Arial" w:cs="Arial"/>
                <w:color w:val="000000"/>
              </w:rPr>
              <w:t>Fidelity</w:t>
            </w:r>
            <w:proofErr w:type="spellEnd"/>
            <w:r w:rsidRPr="00791C81">
              <w:rPr>
                <w:rFonts w:ascii="Arial" w:hAnsi="Arial" w:cs="Arial"/>
                <w:color w:val="000000"/>
              </w:rPr>
              <w:t xml:space="preserve">) bez użycia kabli w standardzie min 6E lub równoważnym wraz ze standardem bezprzewodowej komunikacji </w:t>
            </w:r>
            <w:r w:rsidRPr="00791C81">
              <w:rPr>
                <w:rFonts w:ascii="Arial" w:hAnsi="Arial" w:cs="Arial"/>
                <w:color w:val="000000"/>
              </w:rPr>
              <w:lastRenderedPageBreak/>
              <w:t>krótkiego zasięgu pomiędzy różnymi urządzeniami elektronicznymi min. 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366FE9" w:rsidRDefault="00CA0288" w:rsidP="003B37BC">
            <w:pPr>
              <w:jc w:val="center"/>
              <w:rPr>
                <w:rFonts w:ascii="Arial" w:hAnsi="Arial" w:cs="Arial"/>
              </w:rPr>
            </w:pPr>
            <w:r w:rsidRPr="00366FE9">
              <w:rPr>
                <w:rFonts w:ascii="Arial" w:hAnsi="Arial" w:cs="Arial"/>
              </w:rPr>
              <w:t>12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Porty/złącza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Z tyłu obudowy: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- min. 1x USB 3.2 typu C z funkcją ładowania podłączonych urządzeń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- min. 2x USB 3.2 typu A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- min. 1x HDMI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 xml:space="preserve">- min. 1x </w:t>
            </w:r>
            <w:proofErr w:type="spellStart"/>
            <w:r w:rsidRPr="00366FE9">
              <w:rPr>
                <w:rFonts w:ascii="Arial" w:eastAsia="Lucida Sans Unicode" w:hAnsi="Arial" w:cs="Arial"/>
                <w:kern w:val="2"/>
              </w:rPr>
              <w:t>DisplayPort</w:t>
            </w:r>
            <w:proofErr w:type="spellEnd"/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- min. 1x RJ-45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Z boku obudowy: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- min. 1x USB 3.2 typu A Generacji 2</w:t>
            </w:r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 xml:space="preserve">- min. 1x złącze audio </w:t>
            </w:r>
            <w:proofErr w:type="spellStart"/>
            <w:r w:rsidRPr="00366FE9">
              <w:rPr>
                <w:rFonts w:ascii="Arial" w:eastAsia="Lucida Sans Unicode" w:hAnsi="Arial" w:cs="Arial"/>
                <w:kern w:val="2"/>
              </w:rPr>
              <w:t>combo</w:t>
            </w:r>
            <w:proofErr w:type="spellEnd"/>
          </w:p>
          <w:p w:rsidR="00CA0288" w:rsidRPr="00366FE9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366FE9">
              <w:rPr>
                <w:rFonts w:ascii="Arial" w:eastAsia="Lucida Sans Unicode" w:hAnsi="Arial" w:cs="Arial"/>
                <w:kern w:val="2"/>
              </w:rPr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366FE9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Klawiatura/mysz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Bezprzewodowa: 1 x klawiatura w układzie US + 1 x mysz z rolką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Energooszczędny zasilacz o mocy nie większej niż 180W oraz sprawności na poziomie min. 90%.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15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System operacyjny klasy PC musi spełniać następujące wymagania poprzez wbudowane mechanizmy, bez użycia dodatkowych aplikacji: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Dostępne dwa rodzaje graficznego interfejsu użytkownika: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a.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Klasyczny, umożliwiający obsługę przy pomocy klawiatury i myszy,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Dotykowy umożliwiający sterowanie dotykiem na urządzeniach typu tablet lub monitorach dotykowych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Interfejs użytkownika dostępny w wielu językach do wyboru – w tym polskim i angielskim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4.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5.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6.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Zlokalizowane w języku polskim, co najmniej następujące elementy: menu, pomoc, komunikaty systemowe, menedżer plików.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7.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Graficzne środowisko instalacji i konfiguracji dostępne w języku polskim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8.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Wbudowany system pomocy w języku polskim.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9.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przystosowania stanowiska dla osób niepełnosprawnych (np. słabo widzących).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10.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dokonywania aktualizacji i poprawek systemu poprzez mechanizm zarządzany przez administratora systemu Zamawiającego.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11.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Możliwość dostarczania poprawek do systemu operacyjnego w modelu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peer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-to-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peer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12.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lastRenderedPageBreak/>
              <w:t>13.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14.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dołączenia systemu do usługi katalogowej on-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premise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lub w chmurze.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15.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Umożliwienie zablokowania urządzenia w ramach danego konta tylko do uruchamiania wybranej aplikacji - tryb "kiosk".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16.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17.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18.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Transakcyjny system plików pozwalający na stosowanie przydziałów (ang.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quota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) na dysku dla użytkowników oraz zapewniający większą niezawodność i pozwalający tworzyć kopie zapasowe.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19.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20.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przywracania obrazu plików systemowych do uprzednio zapisanej postaci.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21.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przywracania systemu operacyjnego do stanu początkowego z pozostawieniem plików użytkownika.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22.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23.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Wbudowany mechanizm wirtualizacji typu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hypervisor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."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24.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Wbudowana możliwość zdalnego dostępu do systemu i pracy zdalnej z wykorzystaniem pełnego interfejsu graficznego.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25.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Dostępność bezpłatnych biuletynów bezpieczeństwa związanych z działaniem systemu operacyjnego.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26.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27.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28.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29.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Wbudowany system uwierzytelnienia dwuskładnikowego oparty o certyfikat lub klucz prywatny oraz PIN lub uwierzytelnienie biometryczne.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30.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Wbudowane mechanizmy ochrony antywirusowej i przeciw złośliwemu oprogramowaniu z zapewnionymi bezpłatnymi aktualizacjami.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31.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Wbudowany system szyfrowania dysku twardego ze wsparciem modułu TPM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32.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tworzenia i przechowywania kopii zapasowych kluczy odzyskiwania do szyfrowania dysku w usługach katalogowych.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33.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Możliwość tworzenia wirtualnych kart inteligentnych.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34.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Wsparcie dla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firmware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UEFI i funkcji bezpiecznego rozruchu (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Secure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Boot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)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35.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Wbudowany w system, wykorzystywany automatycznie przez wbudowane przeglądarki filtr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reputacyjny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URL.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lastRenderedPageBreak/>
              <w:t>36.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37.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Mechanizmy logowania w oparciu o: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a.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Login i hasło,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Karty inteligentne i certyfikaty (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smartcard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),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c.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Wirtualne karty inteligentne i certyfikaty (logowanie w oparciu o certyfikat chroniony poprzez moduł TPM),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d.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Certyfikat/Klucz i PIN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e.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Certyfikat/Klucz i uwierzytelnienie biometryczne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38.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 xml:space="preserve">Wsparcie dla uwierzytelniania na bazie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Kerberos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v. 5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39.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Wbudowany agent do zbierania danych na temat zagrożeń na stacji roboczej.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40.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Wsparcie .NET Framework 2.x, 3.x i 4.x – możliwość uruchomienia aplikacji działających we wskazanych środowiskach (wsparcie jest wymagane ze względu na oprogramowanie używane w Szpitalu)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41.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System musi oferować zaawansowane mechanizmy organizacji okien z predefiniowanymi siatkami układu okien widocznymi po najechaniu kursorem na ikonę maksymalizacji</w:t>
            </w:r>
          </w:p>
          <w:p w:rsidR="00CA0288" w:rsidRPr="00791C81" w:rsidRDefault="00CA0288" w:rsidP="003B37BC">
            <w:pPr>
              <w:ind w:left="343" w:hanging="343"/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42.</w:t>
            </w:r>
            <w:r w:rsidRPr="00791C81">
              <w:rPr>
                <w:rFonts w:ascii="Arial" w:eastAsia="Lucida Sans Unicode" w:hAnsi="Arial" w:cs="Arial"/>
                <w:kern w:val="2"/>
              </w:rPr>
              <w:tab/>
              <w:t>System musi umożliwiać otwieranie wielu folderów w jednym oknie Eksploratora plików poprzez wbudowaną obsługę kart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left w:val="single" w:sz="4" w:space="0" w:color="000000"/>
              <w:bottom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BIOS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modelu komputera,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numerze seryjnym,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numerze inwentarzowym (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AssetTag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),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wersji BIOS,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dacie produkcji BIOS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zainstalowanym procesorze,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zainstalowanej pamięci RAM,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Administrator z poziomu BIOS musi mieć możliwość: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wyłączenia portów USB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wyłączenia karty sieciowej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wyłączenia karty audio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wyłączenia funkcji Wake on LAN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wyłączenia wirtualizacji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wyłączenia modułu TPM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ustawienia hasła: administratora, Power-On, dysku twardego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wyboru trybu uruchomienia komputera po utracie zasilania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ustawienia trybu wyłączenia komputera w stan niskiego poboru energii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zdefiniowania sekwencji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bootowania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 xml:space="preserve">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załadowania optymalnych ustawień BIOS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bez uruchamiania systemu operacyjnego z dysku twardego komputera lub innych, podłączonych do niego, urządzeń zewnętrznych.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Zintegrowany System Diagnostyczny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Cyfrowy system diagnostyczny producenta działający nawet w przypadku uszkodzenia dysku twardego z systemem operacyjnym komputera umożliwiający wykonanie diagnostyki następujących podzespołów: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test pamięci RAM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test dysku twardego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test płyty głównej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test procesora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lastRenderedPageBreak/>
              <w:t>Wizualna lub dźwiękowa sygnalizacja w przypadku uszkodzenia bądź błędów któregokolwiek z powyższych podzespołów komputera. Ponadto system powinien umożliwiać identyfikacje testowanej jednostki i jej komponentów w następującym zakresie: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PC: Producent, model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BIOS: Wersja, data wydania, producent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Procesor: Nazwa, taktowanie, pamięć cache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Pamięć RAM: Ilość zainstalowanej pamięci RAM, producent oraz numer seryjny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Dysk twardy: model, numer seryjny, pojemność, producent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System Diagnostyczny działający nawet w przypadku uszkodzenia dysku twardego z systemem operacyjnym komputera.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Bezpieczeństwo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Moduł TPM 2.0 z certyfikacją TCG lub równoważną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Wirtualizacja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20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Gwarancja i wsparcie techniczne producenta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Min. 36 miesięcy świadczona w miejscu użytkowania sprzętu (on-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site</w:t>
            </w:r>
            <w:proofErr w:type="spellEnd"/>
            <w:r w:rsidRPr="00791C81">
              <w:rPr>
                <w:rFonts w:ascii="Arial" w:eastAsia="Lucida Sans Unicode" w:hAnsi="Arial" w:cs="Arial"/>
                <w:kern w:val="2"/>
              </w:rPr>
              <w:t>). W przypadku awarii, dysk twardy pozostaje u Zamawiającego.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fabrycznej konfiguracji urządzenia,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rodzaju gwarancji,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- dacie wygaśnięcia gwarancji, 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- aktualizacjach.</w:t>
            </w:r>
          </w:p>
          <w:p w:rsidR="00CA0288" w:rsidRPr="00791C81" w:rsidRDefault="00CA0288" w:rsidP="003B37BC">
            <w:pPr>
              <w:jc w:val="both"/>
              <w:rPr>
                <w:rFonts w:ascii="Arial" w:eastAsia="Lucida Sans Unicode" w:hAnsi="Arial" w:cs="Arial"/>
                <w:kern w:val="1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Zaawansowana diagnostyka urządzenia i oprogramowania dostępna na stronie producenta komputera.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E4E0F">
              <w:rPr>
                <w:rFonts w:ascii="Arial" w:hAnsi="Arial"/>
                <w:b/>
                <w:bCs/>
                <w:sz w:val="20"/>
                <w:szCs w:val="20"/>
              </w:rPr>
              <w:t>DRUKARKA/URZĄDZENIE WIELOFUNKCYJNE</w:t>
            </w:r>
          </w:p>
        </w:tc>
      </w:tr>
      <w:tr w:rsidR="00CA0288" w:rsidRPr="00CE4E0F" w:rsidTr="00CA0288">
        <w:trPr>
          <w:trHeight w:val="1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jc w:val="both"/>
              <w:rPr>
                <w:rFonts w:ascii="Arial" w:hAnsi="Arial" w:cs="Arial"/>
                <w:i/>
              </w:rPr>
            </w:pPr>
            <w:r w:rsidRPr="00CE4E0F">
              <w:rPr>
                <w:rFonts w:ascii="Arial" w:hAnsi="Arial" w:cs="Arial"/>
              </w:rPr>
              <w:t>Fabrycznie nowe, rok produkcji 2026 lub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A0288" w:rsidRPr="00CE4E0F" w:rsidRDefault="00CA0288" w:rsidP="003B37B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E0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CE4E0F" w:rsidTr="00CA0288"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  <w:b/>
                <w:bCs/>
              </w:rPr>
            </w:pPr>
            <w:r w:rsidRPr="00CE4E0F">
              <w:rPr>
                <w:rFonts w:ascii="Arial" w:hAnsi="Arial" w:cs="Arial"/>
                <w:b/>
                <w:bCs/>
              </w:rPr>
              <w:t>PARAMETRY TECHNICZNE</w:t>
            </w:r>
          </w:p>
        </w:tc>
      </w:tr>
      <w:tr w:rsidR="00CA0288" w:rsidRPr="00791C81" w:rsidTr="00CA0288"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t>1</w:t>
            </w:r>
          </w:p>
        </w:tc>
        <w:tc>
          <w:tcPr>
            <w:tcW w:w="5859" w:type="dxa"/>
            <w:tcBorders>
              <w:left w:val="single" w:sz="4" w:space="0" w:color="000000"/>
              <w:bottom w:val="single" w:sz="4" w:space="0" w:color="000000"/>
            </w:tcBorders>
          </w:tcPr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Funkcje: druk, skan, kopia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Technologia laserowa monochromatyczna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Prędkość druku min. 40 str./min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Czas wydrukowania pierwszej strony do 10 s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Rozdzielczość druku 1200x1200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dpi</w:t>
            </w:r>
            <w:proofErr w:type="spellEnd"/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Interfejs: USB, Ethernet, 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Automatyczny druk dwustronny w formacie A4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Ilość podajników w standardzie: min 2 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Podajnik standardowy: 350 arkuszy A4 75 g/m</w:t>
            </w:r>
            <w:r w:rsidRPr="00791C81">
              <w:rPr>
                <w:rFonts w:ascii="Arial" w:eastAsia="Lucida Sans Unicode" w:hAnsi="Arial" w:cs="Arial"/>
                <w:kern w:val="2"/>
                <w:vertAlign w:val="superscript"/>
              </w:rPr>
              <w:t>2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Obsługiwane formaty: A4-A6, niestandardowe w zakresie 77 mm x 215 mm (szerokość) - 127mm x 355mm (długość)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Automatyczny dwustronny podajnik dokumentów na min. 40 arkuszy (papier zwykły 75 g/m</w:t>
            </w:r>
            <w:r w:rsidRPr="00791C81">
              <w:rPr>
                <w:rFonts w:ascii="Arial" w:eastAsia="Lucida Sans Unicode" w:hAnsi="Arial" w:cs="Arial"/>
                <w:kern w:val="2"/>
                <w:vertAlign w:val="superscript"/>
              </w:rPr>
              <w:t>2</w:t>
            </w:r>
            <w:r w:rsidRPr="00791C81">
              <w:rPr>
                <w:rFonts w:ascii="Arial" w:eastAsia="Lucida Sans Unicode" w:hAnsi="Arial" w:cs="Arial"/>
                <w:kern w:val="2"/>
              </w:rPr>
              <w:t>)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 xml:space="preserve">Szybkość skanowania dwustronnego A4: 50 str./min w czerni w rozdzielczości 300 </w:t>
            </w:r>
            <w:proofErr w:type="spellStart"/>
            <w:r w:rsidRPr="00791C81">
              <w:rPr>
                <w:rFonts w:ascii="Arial" w:eastAsia="Lucida Sans Unicode" w:hAnsi="Arial" w:cs="Arial"/>
                <w:kern w:val="2"/>
              </w:rPr>
              <w:t>dpi</w:t>
            </w:r>
            <w:proofErr w:type="spellEnd"/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Skanowanie do: USB, SMB, serwera E-mail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Obsługa tonera na minimum 2900 stron według normy ISO/IEC 19752 lub równoważnej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Eksploatacja w zestawie: oryginalna, nienaruszająca gwarancji na 2900 stron (wydajność mierzona według normy ISO/IEC 19752 lub równoważnej)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t>Panel sterowania: kolorowy dotykowy, graficzny ekran LCD 7”</w:t>
            </w:r>
          </w:p>
          <w:p w:rsidR="00CA0288" w:rsidRPr="00791C81" w:rsidRDefault="00CA0288" w:rsidP="003B37BC">
            <w:pPr>
              <w:tabs>
                <w:tab w:val="left" w:pos="229"/>
              </w:tabs>
              <w:jc w:val="both"/>
              <w:rPr>
                <w:rFonts w:ascii="Arial" w:eastAsia="Lucida Sans Unicode" w:hAnsi="Arial" w:cs="Arial"/>
                <w:kern w:val="2"/>
              </w:rPr>
            </w:pPr>
            <w:r w:rsidRPr="00791C81">
              <w:rPr>
                <w:rFonts w:ascii="Arial" w:eastAsia="Lucida Sans Unicode" w:hAnsi="Arial" w:cs="Arial"/>
                <w:kern w:val="2"/>
              </w:rPr>
              <w:lastRenderedPageBreak/>
              <w:t>Maksymalne miesięczne obciążenie: 70000 stron/miesiąc</w:t>
            </w:r>
          </w:p>
          <w:p w:rsidR="00CA0288" w:rsidRPr="00791C81" w:rsidRDefault="00CA0288" w:rsidP="003B37B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C81">
              <w:rPr>
                <w:rFonts w:ascii="Arial" w:eastAsia="Lucida Sans Unicode" w:hAnsi="Arial" w:cs="Arial"/>
                <w:kern w:val="2"/>
                <w:sz w:val="20"/>
                <w:szCs w:val="20"/>
              </w:rPr>
              <w:t>Gwarancja producenta min. 3 lata z serwisem na miejscu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A0288" w:rsidRPr="00791C81" w:rsidRDefault="00CA0288" w:rsidP="003B37BC">
            <w:pPr>
              <w:snapToGrid w:val="0"/>
              <w:jc w:val="center"/>
              <w:rPr>
                <w:rFonts w:ascii="Arial" w:hAnsi="Arial" w:cs="Arial"/>
              </w:rPr>
            </w:pPr>
            <w:r w:rsidRPr="00791C8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88" w:rsidRPr="00791C81" w:rsidRDefault="00CA0288" w:rsidP="003B37B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CA0288" w:rsidRPr="00791C81" w:rsidTr="00CA0288"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791C81" w:rsidRDefault="00CA0288" w:rsidP="003B37BC">
            <w:pPr>
              <w:rPr>
                <w:rFonts w:ascii="Arial" w:hAnsi="Arial" w:cs="Arial"/>
                <w:b/>
                <w:bCs/>
              </w:rPr>
            </w:pPr>
            <w:r w:rsidRPr="00791C81">
              <w:rPr>
                <w:rFonts w:ascii="Arial" w:hAnsi="Arial" w:cs="Arial"/>
                <w:b/>
                <w:bCs/>
              </w:rPr>
              <w:t>Inne wymagania</w:t>
            </w: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  <w:r w:rsidRPr="00CE4E0F">
              <w:rPr>
                <w:rFonts w:ascii="Arial" w:hAnsi="Arial" w:cs="Arial"/>
              </w:rPr>
              <w:t>Gwarancyjna obsługa serwisowa urządzenia w okresie m</w:t>
            </w:r>
            <w:r w:rsidRPr="00CE4E0F">
              <w:rPr>
                <w:rFonts w:ascii="Arial" w:hAnsi="Arial" w:cs="Arial"/>
                <w:bCs/>
              </w:rPr>
              <w:t>inimum 36 miesięcy</w:t>
            </w:r>
            <w:r w:rsidRPr="00CE4E0F">
              <w:rPr>
                <w:rFonts w:ascii="Arial" w:hAnsi="Arial" w:cs="Arial"/>
              </w:rPr>
              <w:t xml:space="preserve"> z serwisem na miejscu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Gwarancja obejmuje:</w:t>
            </w:r>
          </w:p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przeglądy w okresie gwarancji</w:t>
            </w:r>
          </w:p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wymiany/naprawy uszkodzonych części</w:t>
            </w:r>
          </w:p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dojazdy/przejazdy pracowników serwisu</w:t>
            </w:r>
          </w:p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koszty wysyłki, pakowania, ubezpieczenia przesyłki</w:t>
            </w:r>
          </w:p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- robociznę</w:t>
            </w:r>
          </w:p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- wszystkie pozostałe koszty niezbędne do wykonania czynności gwarancyjnych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W okresie gwarancji przegląd serwisowy na koszt dostawcy zakończony wpisem do paszportu technicznego i protokołu wykonania przeglądu, jeden na 12 miesięcy, lub więcej, jeżeli tak zaleca producent.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4D2FF5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4D2FF5" w:rsidRDefault="00CA0288" w:rsidP="003B37BC">
            <w:pPr>
              <w:jc w:val="center"/>
              <w:rPr>
                <w:rFonts w:ascii="Arial" w:hAnsi="Arial" w:cs="Arial"/>
              </w:rPr>
            </w:pPr>
            <w:r w:rsidRPr="004D2FF5">
              <w:rPr>
                <w:rFonts w:ascii="Arial" w:hAnsi="Arial" w:cs="Arial"/>
              </w:rPr>
              <w:t>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4D2FF5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D2FF5">
              <w:rPr>
                <w:rFonts w:ascii="Arial" w:hAnsi="Arial" w:cs="Arial"/>
              </w:rPr>
              <w:t>Przegląd serwisowy zawiera:</w:t>
            </w:r>
          </w:p>
          <w:p w:rsidR="00CA0288" w:rsidRPr="004D2FF5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D2FF5">
              <w:rPr>
                <w:rFonts w:ascii="Arial" w:hAnsi="Arial" w:cs="Arial"/>
              </w:rPr>
              <w:t>- dojazdy pracowników serwisu</w:t>
            </w:r>
          </w:p>
          <w:p w:rsidR="00CA0288" w:rsidRPr="004D2FF5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4D2FF5">
              <w:rPr>
                <w:rFonts w:ascii="Arial" w:hAnsi="Arial" w:cs="Arial"/>
              </w:rPr>
              <w:t>- robociznę</w:t>
            </w:r>
          </w:p>
          <w:p w:rsidR="00CA0288" w:rsidRPr="004D2FF5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FF5">
              <w:rPr>
                <w:rFonts w:ascii="Arial" w:hAnsi="Arial" w:cs="Arial"/>
                <w:sz w:val="20"/>
                <w:szCs w:val="20"/>
              </w:rPr>
              <w:t>- wszystkie pozostałe koszty niezbędne do wykonania czynności gwarancyjnych (materiały i części eksploatacyjne)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4D2FF5" w:rsidRDefault="004D2FF5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4D2FF5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Przegląd końcowy przed upływem końca gwarancji producenta (na koszt dostawcy) zakończony wpisem do paszportu technicznego i protokołem wykonania przeglądu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6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widowControl w:val="0"/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Autoryzowany serwis gwarancyjny i pogwarancyjny.</w:t>
            </w:r>
          </w:p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Podać: dokładny adres, telefon, e-mail, adres internetowy (WWW)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7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eastAsia="Calibri" w:hAnsi="Arial" w:cs="Arial"/>
                <w:sz w:val="20"/>
                <w:szCs w:val="20"/>
              </w:rPr>
              <w:t>W okresie gwarancji przyjmowanie zgłoszeń o usterkach telefonicznie, faksem lub pocztą elektroniczną (e-mail) oraz dokonanie koniecznych napraw, doprowadzających przedmiot umowy do pełnej sprawności – w terminie do 7 dni od chwili jej zgłoszenia.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8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Liczba napraw tego samego podzespołu powodująca wymianę na nowy (z wyjątkiem uszkodzeń z winy użytkownika)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  <w:tr w:rsidR="00CA0288" w:rsidRPr="00CE4E0F" w:rsidTr="00CA02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jc w:val="center"/>
              <w:rPr>
                <w:rFonts w:ascii="Arial" w:hAnsi="Arial" w:cs="Arial"/>
              </w:rPr>
            </w:pPr>
            <w:r w:rsidRPr="00CE4E0F">
              <w:rPr>
                <w:rFonts w:ascii="Arial" w:hAnsi="Arial" w:cs="Arial"/>
              </w:rPr>
              <w:t>9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Szkolenie personelu wskazanego przez Zamawiającego w zakresie obsługi aparatu, bezpieczeństwa jego użytkowania potwierdzone pisemnym protokołem.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88" w:rsidRPr="00CE4E0F" w:rsidRDefault="00CA0288" w:rsidP="003B37BC">
            <w:pPr>
              <w:pStyle w:val="TableContents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E0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E4E0F" w:rsidRDefault="00CA0288" w:rsidP="003B37BC">
            <w:pPr>
              <w:rPr>
                <w:rFonts w:ascii="Arial" w:hAnsi="Arial" w:cs="Arial"/>
              </w:rPr>
            </w:pPr>
          </w:p>
        </w:tc>
      </w:tr>
    </w:tbl>
    <w:p w:rsidR="00DA0BAB" w:rsidRDefault="00DA0BAB"/>
    <w:sectPr w:rsidR="00DA0BAB" w:rsidSect="009A0ED1">
      <w:headerReference w:type="default" r:id="rId6"/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288" w:rsidRDefault="00CA0288" w:rsidP="00CA0288">
      <w:r>
        <w:separator/>
      </w:r>
    </w:p>
  </w:endnote>
  <w:endnote w:type="continuationSeparator" w:id="0">
    <w:p w:rsidR="00CA0288" w:rsidRDefault="00CA0288" w:rsidP="00C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 Inspira">
    <w:altName w:val="Aria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288" w:rsidRDefault="00CA0288" w:rsidP="00CA0288">
      <w:r>
        <w:separator/>
      </w:r>
    </w:p>
  </w:footnote>
  <w:footnote w:type="continuationSeparator" w:id="0">
    <w:p w:rsidR="00CA0288" w:rsidRDefault="00CA0288" w:rsidP="00CA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78"/>
      <w:gridCol w:w="5135"/>
    </w:tblGrid>
    <w:tr w:rsidR="00CA0288" w:rsidRPr="00AE3B40" w:rsidTr="003B37BC">
      <w:tc>
        <w:tcPr>
          <w:tcW w:w="4736" w:type="dxa"/>
        </w:tcPr>
        <w:p w:rsidR="00CA0288" w:rsidRPr="00AE3B40" w:rsidRDefault="00CA0288" w:rsidP="00CA0288">
          <w:pPr>
            <w:pStyle w:val="Nagwek"/>
            <w:rPr>
              <w:color w:val="5F5F5F"/>
              <w:sz w:val="16"/>
              <w:szCs w:val="16"/>
            </w:rPr>
          </w:pPr>
          <w:r>
            <w:rPr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:rsidR="00CA0288" w:rsidRPr="00AE3B40" w:rsidRDefault="00CA0288" w:rsidP="00CA0288">
          <w:pPr>
            <w:pStyle w:val="Nagwek"/>
            <w:jc w:val="right"/>
            <w:rPr>
              <w:color w:val="5F5F5F"/>
              <w:sz w:val="16"/>
              <w:szCs w:val="16"/>
            </w:rPr>
          </w:pPr>
          <w:r>
            <w:rPr>
              <w:color w:val="5F5F5F"/>
              <w:sz w:val="16"/>
              <w:szCs w:val="16"/>
            </w:rPr>
            <w:t>TP.382.040.2026 EK</w:t>
          </w:r>
        </w:p>
      </w:tc>
    </w:tr>
    <w:tr w:rsidR="00CA0288" w:rsidRPr="00AE3B40" w:rsidTr="003B37BC">
      <w:tc>
        <w:tcPr>
          <w:tcW w:w="4736" w:type="dxa"/>
          <w:tcBorders>
            <w:bottom w:val="single" w:sz="4" w:space="0" w:color="auto"/>
          </w:tcBorders>
        </w:tcPr>
        <w:p w:rsidR="00CA0288" w:rsidRPr="00AE3B40" w:rsidRDefault="00CA0288" w:rsidP="00CA0288">
          <w:pPr>
            <w:pStyle w:val="Nagwek"/>
            <w:rPr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:rsidR="00CA0288" w:rsidRPr="00AE3B40" w:rsidRDefault="00CA0288" w:rsidP="00CA0288">
          <w:pPr>
            <w:pStyle w:val="Nagwek"/>
            <w:jc w:val="right"/>
            <w:rPr>
              <w:b/>
              <w:color w:val="5F5F5F"/>
              <w:sz w:val="10"/>
              <w:szCs w:val="10"/>
            </w:rPr>
          </w:pPr>
        </w:p>
      </w:tc>
    </w:tr>
  </w:tbl>
  <w:p w:rsidR="00CA0288" w:rsidRDefault="00CA0288" w:rsidP="00CA0288">
    <w:pPr>
      <w:pStyle w:val="Nagwek"/>
      <w:rPr>
        <w:rFonts w:ascii="Tahoma" w:hAnsi="Tahoma" w:cs="Tahoma"/>
        <w:sz w:val="2"/>
        <w:szCs w:val="2"/>
      </w:rPr>
    </w:pPr>
  </w:p>
  <w:p w:rsidR="00CA0288" w:rsidRDefault="00CA02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5A"/>
    <w:rsid w:val="002A00B8"/>
    <w:rsid w:val="00393A5A"/>
    <w:rsid w:val="004D2FF5"/>
    <w:rsid w:val="009A0ED1"/>
    <w:rsid w:val="00CA0288"/>
    <w:rsid w:val="00D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B79"/>
  <w15:chartTrackingRefBased/>
  <w15:docId w15:val="{1EC1DF74-9AC0-41B9-8A45-CC5F9D09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288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A0288"/>
    <w:pPr>
      <w:tabs>
        <w:tab w:val="center" w:pos="4536"/>
        <w:tab w:val="right" w:pos="9072"/>
      </w:tabs>
    </w:pPr>
    <w:rPr>
      <w:rFonts w:ascii="Arial" w:eastAsiaTheme="minorHAnsi" w:hAnsi="Arial" w:cs="Arial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0288"/>
  </w:style>
  <w:style w:type="paragraph" w:styleId="Stopka">
    <w:name w:val="footer"/>
    <w:basedOn w:val="Normalny"/>
    <w:link w:val="StopkaZnak"/>
    <w:uiPriority w:val="99"/>
    <w:unhideWhenUsed/>
    <w:rsid w:val="00CA0288"/>
    <w:pPr>
      <w:tabs>
        <w:tab w:val="center" w:pos="4536"/>
        <w:tab w:val="right" w:pos="9072"/>
      </w:tabs>
    </w:pPr>
    <w:rPr>
      <w:rFonts w:ascii="Arial" w:eastAsiaTheme="minorHAnsi" w:hAnsi="Arial" w:cs="Arial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A0288"/>
  </w:style>
  <w:style w:type="paragraph" w:customStyle="1" w:styleId="TableContents">
    <w:name w:val="Table Contents"/>
    <w:basedOn w:val="Normalny"/>
    <w:rsid w:val="00CA0288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CA0288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CA0288"/>
    <w:pPr>
      <w:autoSpaceDE w:val="0"/>
      <w:autoSpaceDN w:val="0"/>
      <w:adjustRightInd w:val="0"/>
    </w:pPr>
    <w:rPr>
      <w:rFonts w:ascii="GE Inspira" w:eastAsia="Times New Roman" w:hAnsi="GE Inspira" w:cs="GE Inspir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2058</Words>
  <Characters>12354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Piotr Gąska</cp:lastModifiedBy>
  <cp:revision>3</cp:revision>
  <dcterms:created xsi:type="dcterms:W3CDTF">2026-04-01T09:06:00Z</dcterms:created>
  <dcterms:modified xsi:type="dcterms:W3CDTF">2026-04-01T09:18:00Z</dcterms:modified>
</cp:coreProperties>
</file>